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41" w:rsidRDefault="00E30D41" w:rsidP="00E30D4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D41" w:rsidRDefault="00AD1949" w:rsidP="00E30D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8705850"/>
            <wp:effectExtent l="19050" t="0" r="0" b="0"/>
            <wp:docPr id="1" name="Рисунок 1" descr="C:\Users\1\AppData\Local\Microsoft\Windows\Temporary Internet Files\Content.Word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AppData\Local\Microsoft\Windows\Temporary Internet Files\Content.Word\img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41" w:rsidRDefault="00E30D41" w:rsidP="00E30D41">
      <w:pPr>
        <w:numPr>
          <w:ilvl w:val="0"/>
          <w:numId w:val="1"/>
        </w:numPr>
        <w:tabs>
          <w:tab w:val="clear" w:pos="1065"/>
          <w:tab w:val="num" w:pos="-142"/>
        </w:tabs>
        <w:spacing w:after="0" w:line="240" w:lineRule="auto"/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E30D41" w:rsidRDefault="00E30D41" w:rsidP="00E30D41">
      <w:pPr>
        <w:numPr>
          <w:ilvl w:val="0"/>
          <w:numId w:val="1"/>
        </w:numPr>
        <w:tabs>
          <w:tab w:val="clear" w:pos="1065"/>
          <w:tab w:val="num" w:pos="-142"/>
        </w:tabs>
        <w:spacing w:after="0" w:line="240" w:lineRule="auto"/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  <w:r w:rsidRPr="0013433D">
        <w:rPr>
          <w:rFonts w:ascii="Times New Roman" w:hAnsi="Times New Roman"/>
          <w:b/>
          <w:sz w:val="28"/>
          <w:szCs w:val="28"/>
        </w:rPr>
        <w:lastRenderedPageBreak/>
        <w:t>Характеристика деятельности организации на объекте</w:t>
      </w:r>
    </w:p>
    <w:p w:rsidR="00E30D41" w:rsidRPr="0013433D" w:rsidRDefault="00E30D41" w:rsidP="00E30D41">
      <w:pPr>
        <w:spacing w:after="0" w:line="240" w:lineRule="auto"/>
        <w:ind w:left="1065"/>
        <w:jc w:val="center"/>
        <w:rPr>
          <w:rFonts w:ascii="Times New Roman" w:hAnsi="Times New Roman"/>
          <w:b/>
          <w:sz w:val="28"/>
          <w:szCs w:val="28"/>
        </w:rPr>
      </w:pPr>
      <w:r w:rsidRPr="0013433D">
        <w:rPr>
          <w:rFonts w:ascii="Times New Roman" w:hAnsi="Times New Roman"/>
          <w:b/>
          <w:i/>
          <w:sz w:val="28"/>
          <w:szCs w:val="28"/>
        </w:rPr>
        <w:t>(</w:t>
      </w:r>
      <w:r w:rsidRPr="0013433D">
        <w:rPr>
          <w:rFonts w:ascii="Times New Roman" w:hAnsi="Times New Roman"/>
          <w:i/>
          <w:sz w:val="28"/>
          <w:szCs w:val="28"/>
        </w:rPr>
        <w:t>по обслуживанию населения)</w:t>
      </w:r>
    </w:p>
    <w:p w:rsidR="00E30D41" w:rsidRPr="00BA2DF5" w:rsidRDefault="00E30D41" w:rsidP="00E30D4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30D41" w:rsidRPr="0013433D" w:rsidRDefault="00E30D41" w:rsidP="00E30D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3433D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.</w:t>
      </w:r>
      <w:r w:rsidRPr="0013433D">
        <w:rPr>
          <w:rFonts w:ascii="Times New Roman" w:hAnsi="Times New Roman"/>
          <w:sz w:val="28"/>
          <w:szCs w:val="28"/>
        </w:rPr>
        <w:t xml:space="preserve"> Сфера деятельности </w:t>
      </w:r>
      <w:r w:rsidRPr="0013433D">
        <w:rPr>
          <w:rFonts w:ascii="Times New Roman" w:hAnsi="Times New Roman"/>
          <w:b/>
          <w:sz w:val="28"/>
          <w:szCs w:val="28"/>
          <w:u w:val="single"/>
        </w:rPr>
        <w:t>Дошкольное образование детей</w:t>
      </w:r>
    </w:p>
    <w:p w:rsidR="00E30D41" w:rsidRPr="0013433D" w:rsidRDefault="00E30D41" w:rsidP="00E30D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433D">
        <w:rPr>
          <w:rFonts w:ascii="Times New Roman" w:hAnsi="Times New Roman"/>
          <w:sz w:val="28"/>
          <w:szCs w:val="28"/>
        </w:rPr>
        <w:t>2.2</w:t>
      </w:r>
      <w:r>
        <w:rPr>
          <w:rFonts w:ascii="Times New Roman" w:hAnsi="Times New Roman"/>
          <w:sz w:val="28"/>
          <w:szCs w:val="28"/>
        </w:rPr>
        <w:t>.</w:t>
      </w:r>
      <w:r w:rsidRPr="0013433D">
        <w:rPr>
          <w:rFonts w:ascii="Times New Roman" w:hAnsi="Times New Roman"/>
          <w:sz w:val="28"/>
          <w:szCs w:val="28"/>
        </w:rPr>
        <w:t xml:space="preserve"> Виды оказываемых услуг </w:t>
      </w:r>
      <w:r>
        <w:rPr>
          <w:rFonts w:ascii="Times New Roman" w:hAnsi="Times New Roman"/>
          <w:b/>
          <w:sz w:val="28"/>
          <w:szCs w:val="28"/>
          <w:u w:val="single"/>
        </w:rPr>
        <w:t>дошкольное образование</w:t>
      </w:r>
    </w:p>
    <w:p w:rsidR="00E30D41" w:rsidRPr="0013433D" w:rsidRDefault="00E30D41" w:rsidP="00E30D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3433D">
        <w:rPr>
          <w:rFonts w:ascii="Times New Roman" w:hAnsi="Times New Roman"/>
          <w:sz w:val="28"/>
          <w:szCs w:val="28"/>
        </w:rPr>
        <w:t>2.3</w:t>
      </w:r>
      <w:r>
        <w:rPr>
          <w:rFonts w:ascii="Times New Roman" w:hAnsi="Times New Roman"/>
          <w:sz w:val="28"/>
          <w:szCs w:val="28"/>
        </w:rPr>
        <w:t xml:space="preserve">.Форма оказания услуг: </w:t>
      </w:r>
      <w:r w:rsidRPr="0013433D">
        <w:rPr>
          <w:rFonts w:ascii="Times New Roman" w:hAnsi="Times New Roman"/>
          <w:sz w:val="28"/>
          <w:szCs w:val="28"/>
        </w:rPr>
        <w:t xml:space="preserve">(на объекте, с длительным пребыванием, в т.ч. проживанием, на дому, дистанционно) </w:t>
      </w:r>
      <w:r w:rsidRPr="0013433D">
        <w:rPr>
          <w:rFonts w:ascii="Times New Roman" w:hAnsi="Times New Roman"/>
          <w:b/>
          <w:sz w:val="28"/>
          <w:szCs w:val="28"/>
          <w:u w:val="single"/>
        </w:rPr>
        <w:t>на объекте</w:t>
      </w:r>
    </w:p>
    <w:p w:rsidR="00E30D41" w:rsidRPr="0013433D" w:rsidRDefault="00E30D41" w:rsidP="00E30D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433D">
        <w:rPr>
          <w:rFonts w:ascii="Times New Roman" w:hAnsi="Times New Roman"/>
          <w:sz w:val="28"/>
          <w:szCs w:val="28"/>
        </w:rPr>
        <w:t>2.4</w:t>
      </w:r>
      <w:r>
        <w:rPr>
          <w:rFonts w:ascii="Times New Roman" w:hAnsi="Times New Roman"/>
          <w:sz w:val="28"/>
          <w:szCs w:val="28"/>
        </w:rPr>
        <w:t>.</w:t>
      </w:r>
      <w:r w:rsidRPr="0013433D">
        <w:rPr>
          <w:rFonts w:ascii="Times New Roman" w:hAnsi="Times New Roman"/>
          <w:sz w:val="28"/>
          <w:szCs w:val="28"/>
        </w:rPr>
        <w:t xml:space="preserve">Категории обслуживаемого населения по возрасту: (дети, взрослые трудоспособного возраста, пожилые; все возрастные категории) </w:t>
      </w:r>
      <w:r w:rsidRPr="0013433D">
        <w:rPr>
          <w:rFonts w:ascii="Times New Roman" w:hAnsi="Times New Roman"/>
          <w:b/>
          <w:sz w:val="28"/>
          <w:szCs w:val="28"/>
          <w:u w:val="single"/>
        </w:rPr>
        <w:t>дети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с 1 года до 8 лет</w:t>
      </w:r>
    </w:p>
    <w:p w:rsidR="00E30D41" w:rsidRPr="0013433D" w:rsidRDefault="00E30D41" w:rsidP="00E30D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2.5.</w:t>
      </w:r>
      <w:r w:rsidRPr="0013433D">
        <w:rPr>
          <w:rFonts w:ascii="Times New Roman" w:hAnsi="Times New Roman"/>
          <w:sz w:val="28"/>
          <w:szCs w:val="28"/>
        </w:rPr>
        <w:t xml:space="preserve">Категории обслуживаемых инвалидов: </w:t>
      </w:r>
      <w:r w:rsidRPr="0013433D">
        <w:rPr>
          <w:rFonts w:ascii="Times New Roman" w:hAnsi="Times New Roman"/>
          <w:b/>
          <w:sz w:val="28"/>
          <w:szCs w:val="28"/>
          <w:u w:val="single"/>
        </w:rPr>
        <w:t>инвалиды, инвалиды с нарушениями опорно-двигательного аппарата; нарушен</w:t>
      </w:r>
      <w:r>
        <w:rPr>
          <w:rFonts w:ascii="Times New Roman" w:hAnsi="Times New Roman"/>
          <w:b/>
          <w:sz w:val="28"/>
          <w:szCs w:val="28"/>
          <w:u w:val="single"/>
        </w:rPr>
        <w:t>иями зрения, нарушениями слуха</w:t>
      </w:r>
    </w:p>
    <w:p w:rsidR="00E30D41" w:rsidRPr="0013433D" w:rsidRDefault="00E30D41" w:rsidP="00E30D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433D">
        <w:rPr>
          <w:rFonts w:ascii="Times New Roman" w:hAnsi="Times New Roman"/>
          <w:sz w:val="28"/>
          <w:szCs w:val="28"/>
        </w:rPr>
        <w:t>2.6</w:t>
      </w:r>
      <w:r>
        <w:rPr>
          <w:rFonts w:ascii="Times New Roman" w:hAnsi="Times New Roman"/>
          <w:sz w:val="28"/>
          <w:szCs w:val="28"/>
        </w:rPr>
        <w:t>.</w:t>
      </w:r>
      <w:r w:rsidRPr="0013433D">
        <w:rPr>
          <w:rFonts w:ascii="Times New Roman" w:hAnsi="Times New Roman"/>
          <w:sz w:val="28"/>
          <w:szCs w:val="28"/>
        </w:rPr>
        <w:t xml:space="preserve">Плановая мощность: посещаемость (количество обслуживаемых в день), вместимость, пропускная способность </w:t>
      </w:r>
      <w:r>
        <w:rPr>
          <w:rFonts w:ascii="Times New Roman" w:hAnsi="Times New Roman"/>
          <w:b/>
          <w:sz w:val="28"/>
          <w:szCs w:val="28"/>
          <w:u w:val="single"/>
        </w:rPr>
        <w:t>150 детей</w:t>
      </w:r>
    </w:p>
    <w:p w:rsidR="00E30D41" w:rsidRDefault="00E30D41" w:rsidP="00E30D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3433D">
        <w:rPr>
          <w:rFonts w:ascii="Times New Roman" w:hAnsi="Times New Roman"/>
          <w:sz w:val="28"/>
          <w:szCs w:val="28"/>
        </w:rPr>
        <w:t>2.7</w:t>
      </w:r>
      <w:r>
        <w:rPr>
          <w:rFonts w:ascii="Times New Roman" w:hAnsi="Times New Roman"/>
          <w:sz w:val="28"/>
          <w:szCs w:val="28"/>
        </w:rPr>
        <w:t>.</w:t>
      </w:r>
      <w:r w:rsidRPr="0013433D">
        <w:rPr>
          <w:rFonts w:ascii="Times New Roman" w:hAnsi="Times New Roman"/>
          <w:sz w:val="28"/>
          <w:szCs w:val="28"/>
        </w:rPr>
        <w:t xml:space="preserve">Участие в исполнении ИПР инвалида, ребенка-инвалида </w:t>
      </w:r>
      <w:r>
        <w:rPr>
          <w:rFonts w:ascii="Times New Roman" w:hAnsi="Times New Roman"/>
          <w:b/>
          <w:sz w:val="28"/>
          <w:szCs w:val="28"/>
          <w:u w:val="single"/>
        </w:rPr>
        <w:t>нет</w:t>
      </w:r>
    </w:p>
    <w:p w:rsidR="00E30D41" w:rsidRPr="00BA2DF5" w:rsidRDefault="00E30D41" w:rsidP="00E30D4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  <w:u w:val="single"/>
        </w:rPr>
      </w:pPr>
    </w:p>
    <w:p w:rsidR="00E30D41" w:rsidRPr="0013433D" w:rsidRDefault="00E30D41" w:rsidP="00E30D4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3433D">
        <w:rPr>
          <w:rFonts w:ascii="Times New Roman" w:hAnsi="Times New Roman"/>
          <w:b/>
          <w:sz w:val="28"/>
          <w:szCs w:val="28"/>
        </w:rPr>
        <w:t>III. Оценка состояния и имеющихся недостатков в обеспечении условий</w:t>
      </w:r>
    </w:p>
    <w:p w:rsidR="00E30D41" w:rsidRPr="0013433D" w:rsidRDefault="00E30D41" w:rsidP="00E30D4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3433D">
        <w:rPr>
          <w:rFonts w:ascii="Times New Roman" w:hAnsi="Times New Roman"/>
          <w:b/>
          <w:sz w:val="28"/>
          <w:szCs w:val="28"/>
        </w:rPr>
        <w:t>доступности для инвалидов объекта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4476"/>
        <w:gridCol w:w="4536"/>
      </w:tblGrid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Основные показатели доступности для инвалидов объекта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Выделенные  стоянки автотранспортных средств для инвалидов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Сменные кресла-коляски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Адаптированные лифты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Поручни округлого сечения диаметром от 0,02 до 0,05 м.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Пандусы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Подъемные платформы (аппарели)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Раздвижные двери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Доступные входные группы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Входная площадка не выделена контрастным цветом, отсутствуют предупреждающие тактильные указатели. Ширина дверных проходов не соответствует нормативным требованиям. Отсутствуют предупредительные тактильные полосы шириной 0,3 - 0,5 м перед открытой лестницей за 0,8 - 0,9 м.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 xml:space="preserve">Дверные наличники или края дверного полотна и ручки необходимо окрашивать в </w:t>
            </w:r>
            <w:r w:rsidRPr="00E30D41">
              <w:rPr>
                <w:rFonts w:ascii="Times New Roman" w:hAnsi="Times New Roman"/>
                <w:sz w:val="28"/>
                <w:szCs w:val="28"/>
              </w:rPr>
              <w:lastRenderedPageBreak/>
              <w:t>отличные от дверного полотна контрастные цвета.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Доступные  санитарно-гигиенические помещения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Не доступны для лиц, пользующихся инвалидными колясками.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Достаточная  ширина дверных проемов в стенах, лестничных маршей, площадок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 пути движения пороги, препятствие для движения лицам с ослабленным зрением.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Ширина дверных проходов не соответствует нормативным требования.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Надлежащее 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передвижения.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 игровых и спортивной площадках отсутствует специальное травмобезопасное покрытие.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Части ограждений площадок являются опасными для людей с нарушениями зрения.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Дорожки к игровым площадкам и не могут быть использованы для передвижения по ним детей с нарушением зрения.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Дублирование 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фоне.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Нумерация шкафов в раздевальных  комнатах не выполнена рельефным шрифтом и на контрастном фоне.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Дублирование  необходимой для инвалидов по слуху звуковой информации зрительной информацией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Иные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Кромки ступеней или поручни лестниц должны быть окрашены контрастной краской, а на путях эвакуации светящейся в темноте, или на них наклеены световые ленты.</w:t>
            </w:r>
          </w:p>
        </w:tc>
      </w:tr>
    </w:tbl>
    <w:p w:rsidR="00E30D41" w:rsidRDefault="00E30D41" w:rsidP="00E30D4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0D41" w:rsidRPr="0013433D" w:rsidRDefault="00E30D41" w:rsidP="00E30D4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33D">
        <w:rPr>
          <w:rFonts w:ascii="Times New Roman" w:hAnsi="Times New Roman"/>
          <w:b/>
          <w:sz w:val="28"/>
          <w:szCs w:val="28"/>
        </w:rPr>
        <w:lastRenderedPageBreak/>
        <w:t>IV. Оценка состояния и имеющихся недостатков в обеспечении условий доступности для инвалидов предоставляемых услуг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6460"/>
        <w:gridCol w:w="2693"/>
      </w:tblGrid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Наличие  при входе в объект вывески с названием организации, графиком работы организации, плана здания, выполненных рельефно-точечным шрифтом Брайля и на контрастном фоне.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Обеспечение 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действий.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Проведение 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услуг.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Наличие  работников организаций, на которых административно-распорядительным актом  возложено оказание инвалидам помощи при предоставлении им услуг.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Предоставление  услуги с сопровождением инвалида по территории объекта работником организации.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___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Предоставление  инвалидам по слуху, при необходимости, услуги с использованием русского жестового языка, включая обеспечение допуска на объект сурдопереводчика, тифлопереводчика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Соответствие 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___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 xml:space="preserve">Обеспечение  допуска на объект, в котором предоставляются услуги, собаки-проводника при </w:t>
            </w:r>
            <w:r w:rsidRPr="00E30D41">
              <w:rPr>
                <w:rFonts w:ascii="Times New Roman" w:hAnsi="Times New Roman"/>
                <w:sz w:val="28"/>
                <w:szCs w:val="28"/>
              </w:rPr>
              <w:lastRenderedPageBreak/>
              <w:t>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lastRenderedPageBreak/>
              <w:t>Нет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Наличие 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Адаптация 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Обеспечение  предоставления услуг тьютора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Иные - укажите!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____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0D41" w:rsidRPr="004273D0" w:rsidRDefault="00E30D41" w:rsidP="00E30D41">
      <w:pPr>
        <w:pStyle w:val="ConsPlusNonformat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E30D41" w:rsidRPr="00323D84" w:rsidRDefault="00E30D41" w:rsidP="00E30D41">
      <w:pPr>
        <w:pStyle w:val="ConsPlusNonformat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E30D41" w:rsidRPr="0013433D" w:rsidRDefault="00E30D41" w:rsidP="00E30D4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33D">
        <w:rPr>
          <w:rFonts w:ascii="Times New Roman" w:hAnsi="Times New Roman"/>
          <w:b/>
          <w:sz w:val="28"/>
          <w:szCs w:val="28"/>
        </w:rPr>
        <w:t>V. Предлагаемые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 доступности для инвалидов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5184"/>
        <w:gridCol w:w="3969"/>
      </w:tblGrid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Заменить дорожки на пути движения по прилегающей территории объекта к игровым и спортивной площадкам. Дорожки должны быть контрастного цвета, нескользкие и шириной 1,5 м. Выравнивание асфальтового покрытия.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 всех игровых площадках заменить ограждения на безопасные конструкции, а также уложить травмобезопасное покрытие из резиновой крошки.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Спортивную площадку обнести ограждением и уложить покрытие из резиновой крошки.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Перед лестницей на прилегающую территорию на расстоянии 0,8 м установить тактильные предупреждающие указатели или контрастно окрашенную поверхность.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Дверные наличники или края дверных полотен и ручки окрасить в отличные от дверных полотен контрастные цвета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 выходах из помещения установить световые маяки для контрастного выделения дверного проема.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Выделить контрастным цветом входную площадку, установить предупреждающие тактильные указатели.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Установить вывеску при входе на объект с названием организации, графиком работы и планом здания, выполненной в рельефно-точечным шрифтом Брайля и на контрастном фоне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Установить рельефные таблички на шкафчики в раздевалках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Кромки ступеней или поручни лестниц на путях эвакуации окрасить краской, светящейся в темноте, или на них наклеить световые ленты.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Установить разноуровневые поручни с обеих сторон лестницы. Поручни должны быть округлого сечения диаметром от 0,04 до 0,06 м на высоте 0,9 и 0,5 м.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Провести ремонт лестниц с нанесением противоскользящего покрытия и противоскользящей клейкой ленты контрастного цвета.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Оборудование спортивного зала следует заменить на современный развивающий спортивный комплекс, контрастно окрашенный и оснастить матами безопасности.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Обеспечить травмобезопасное покрытие пола  музыкального и спортивного зала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Установить рельефные пиктограммы возле входов в группы (на стене со стороны дверной ручки, на высоте 1.35м по нижнему краю пиктограммы, размер пиктограммы 100*100мм)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</w:tbl>
    <w:p w:rsidR="0062380F" w:rsidRDefault="0062380F" w:rsidP="00E30D41">
      <w:pPr>
        <w:jc w:val="center"/>
      </w:pPr>
    </w:p>
    <w:sectPr w:rsidR="0062380F" w:rsidSect="00E30D4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30D41"/>
    <w:rsid w:val="0062380F"/>
    <w:rsid w:val="00AD1949"/>
    <w:rsid w:val="00E30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30D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uiPriority w:val="99"/>
    <w:semiHidden/>
    <w:unhideWhenUsed/>
    <w:rsid w:val="00E3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2021-09-21T05:37:00Z</dcterms:created>
  <dcterms:modified xsi:type="dcterms:W3CDTF">2021-09-21T05:37:00Z</dcterms:modified>
</cp:coreProperties>
</file>