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4" w:rsidRDefault="00CC7D1A" w:rsidP="00CC7D1A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</w:pPr>
      <w:r w:rsidRPr="00CC52F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Информация</w:t>
      </w:r>
      <w:r w:rsidR="00CC52F4" w:rsidRPr="00CC52F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 о специальных условиях для обучения инвалидов и лиц с ограниченными возможностями здоровья </w:t>
      </w:r>
      <w:r w:rsidRPr="00CC52F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в муниципальном казенном дошкольном образовательном учреждении </w:t>
      </w:r>
    </w:p>
    <w:p w:rsidR="00CC7D1A" w:rsidRPr="00CC52F4" w:rsidRDefault="00CC7D1A" w:rsidP="00CC7D1A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</w:pPr>
      <w:r w:rsidRPr="00CC52F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«Детский сад «Солнышко» села Амурзет»</w:t>
      </w:r>
    </w:p>
    <w:p w:rsidR="00CC52F4" w:rsidRDefault="00CC52F4" w:rsidP="00CC52F4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2ED5">
        <w:rPr>
          <w:rFonts w:ascii="Times New Roman" w:hAnsi="Times New Roman"/>
          <w:color w:val="000000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нет. 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color w:val="000000"/>
          <w:sz w:val="28"/>
          <w:szCs w:val="28"/>
        </w:rPr>
        <w:t>Лица с ОВЗ и  инвалиды участвуют в образовательном процессе на общих условиях.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2.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Обеспечение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  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МКДОУ «Детский сад </w:t>
      </w:r>
      <w:r>
        <w:rPr>
          <w:rFonts w:ascii="Times New Roman" w:hAnsi="Times New Roman"/>
          <w:color w:val="000000"/>
          <w:sz w:val="28"/>
          <w:szCs w:val="28"/>
        </w:rPr>
        <w:t>«Солнышко</w:t>
      </w:r>
      <w:r w:rsidRPr="00F92ED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с. Амурзет»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функционирует с 197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года. Конструктивные особенности здани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F92ED5">
        <w:rPr>
          <w:rFonts w:ascii="Times New Roman" w:hAnsi="Times New Roman"/>
          <w:color w:val="000000"/>
          <w:sz w:val="28"/>
          <w:szCs w:val="28"/>
        </w:rPr>
        <w:t>Тифлотехника</w:t>
      </w:r>
      <w:proofErr w:type="spellEnd"/>
      <w:r w:rsidRPr="00F92ED5">
        <w:rPr>
          <w:rFonts w:ascii="Times New Roman" w:hAnsi="Times New Roman"/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CC52F4" w:rsidRPr="00DF2BA7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 xml:space="preserve">  3.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Условия питания обучающихся, в том числе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создание отдельного меню не осуществляется.</w:t>
      </w:r>
      <w:r w:rsidRPr="00F92ED5">
        <w:rPr>
          <w:rFonts w:ascii="Times New Roman" w:hAnsi="Times New Roman"/>
          <w:b/>
          <w:bCs/>
          <w:color w:val="000000"/>
          <w:sz w:val="28"/>
          <w:szCs w:val="28"/>
        </w:rPr>
        <w:t xml:space="preserve">  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ДОУ осуществляет питание детей  в соответствии с действующими Санитарно-эпидемиологическими  правилами и нормативами СанПиН </w:t>
      </w:r>
      <w:r>
        <w:rPr>
          <w:rFonts w:ascii="Times New Roman" w:hAnsi="Times New Roman"/>
          <w:color w:val="000000"/>
          <w:sz w:val="28"/>
          <w:szCs w:val="28"/>
        </w:rPr>
        <w:t>2.3./2.4.3590-20</w:t>
      </w:r>
      <w:r w:rsidRPr="00F92ED5">
        <w:rPr>
          <w:rFonts w:ascii="Times New Roman" w:hAnsi="Times New Roman"/>
          <w:color w:val="000000"/>
          <w:sz w:val="28"/>
          <w:szCs w:val="28"/>
        </w:rPr>
        <w:t>. В учреждении организовано сбалансированное трехразовое питание в соответствии с примерным 10-дневным меню.  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4.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Условия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 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медицинское обслуживание детей в детском саду осуществляется ОГБУЗ «Октябрьская ЦРБ»  в соответствии с договором на оказание медицинских услуг и соглашения о взаимодействии.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Обеспечивается оказание несовершеннолетним первичной медико-санитарной помощи: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>-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 xml:space="preserve"> организуются профилактические осмотры;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lastRenderedPageBreak/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иммунопрофилактики;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постановка и учет туберкулиновых проб;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проведение санитарно-просветительской работы;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>-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 xml:space="preserve"> контроль питания;</w:t>
      </w:r>
    </w:p>
    <w:p w:rsidR="00CC52F4" w:rsidRPr="00F92ED5" w:rsidRDefault="00CC52F4" w:rsidP="00CC52F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>-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и проведение противоэпидемических и профилактических мероприятий 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 xml:space="preserve">В ДОУ имеется </w:t>
      </w:r>
      <w:r w:rsidRPr="00F92ED5">
        <w:rPr>
          <w:rFonts w:ascii="Times New Roman" w:hAnsi="Times New Roman"/>
          <w:color w:val="000000"/>
          <w:sz w:val="28"/>
          <w:szCs w:val="28"/>
        </w:rPr>
        <w:t> медицинский кабинет, который оснащен следующим оборудованием: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весы,  ростомер, стол, холодильник, переносная бактерицидная лампа, столик процедурный, </w:t>
      </w:r>
      <w:r>
        <w:rPr>
          <w:rFonts w:ascii="Times New Roman" w:hAnsi="Times New Roman"/>
          <w:color w:val="000000"/>
          <w:sz w:val="28"/>
          <w:szCs w:val="28"/>
        </w:rPr>
        <w:t xml:space="preserve">стеклянный </w:t>
      </w:r>
      <w:r w:rsidRPr="00F92ED5">
        <w:rPr>
          <w:rFonts w:ascii="Times New Roman" w:hAnsi="Times New Roman"/>
          <w:color w:val="000000"/>
          <w:sz w:val="28"/>
          <w:szCs w:val="28"/>
        </w:rPr>
        <w:t>шкаф для медикаментов, стол письменный, кушетка,  стул для взрослых, шкаф для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, таблица для определения остроты зрения, манжета детская для измерения артериального давления, плантограф, мешок «Амбу» для искусственной вентиляции легких, желудочные зонды, бесконтактный термометр. </w:t>
      </w:r>
    </w:p>
    <w:p w:rsidR="00CC52F4" w:rsidRPr="00F92ED5" w:rsidRDefault="00CC52F4" w:rsidP="00CC52F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5F6F8"/>
        </w:rPr>
      </w:pP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Санитарно-гигиеническое состояние ДОУ соответствует требованиям СанПин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2.3./2.4.3590-20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: </w:t>
      </w:r>
    </w:p>
    <w:p w:rsidR="00CC52F4" w:rsidRPr="00F92ED5" w:rsidRDefault="00CC52F4" w:rsidP="00CC52F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световой, воздушный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дыхательных упражнений, воздушные ванны, правильная организация прогулки, соблюдение температурного режима в течение дня).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 xml:space="preserve"> 5.</w:t>
      </w:r>
      <w:r w:rsidRPr="00F92ED5">
        <w:rPr>
          <w:rFonts w:ascii="Times New Roman" w:hAnsi="Times New Roman"/>
          <w:color w:val="000000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>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> 6.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> доступ обучающихся к электронным образовательным ресурсам не предусматривается.</w:t>
      </w:r>
      <w:r w:rsidRPr="00F92ED5">
        <w:rPr>
          <w:rFonts w:ascii="Times New Roman" w:hAnsi="Times New Roman"/>
          <w:sz w:val="28"/>
          <w:szCs w:val="28"/>
        </w:rPr>
        <w:t> </w:t>
      </w:r>
      <w:r w:rsidRPr="00F92ED5">
        <w:rPr>
          <w:rFonts w:ascii="Times New Roman" w:hAnsi="Times New Roman"/>
          <w:color w:val="000000"/>
          <w:sz w:val="28"/>
          <w:szCs w:val="28"/>
        </w:rPr>
        <w:t>Официальный сайт учреждения имеет версию сайта для слабовидящих.</w:t>
      </w:r>
    </w:p>
    <w:p w:rsidR="00CC52F4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7.</w:t>
      </w:r>
      <w:r w:rsidRPr="00F92ED5">
        <w:rPr>
          <w:rFonts w:ascii="Times New Roman" w:hAnsi="Times New Roman"/>
          <w:color w:val="00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2F4" w:rsidRPr="00F92ED5" w:rsidRDefault="00CC52F4" w:rsidP="00CC52F4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> 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p w:rsidR="00CC7D1A" w:rsidRPr="00CC52F4" w:rsidRDefault="00CC52F4" w:rsidP="00CC52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ED5">
        <w:rPr>
          <w:rFonts w:ascii="Times New Roman" w:hAnsi="Times New Roman"/>
          <w:sz w:val="28"/>
          <w:szCs w:val="28"/>
        </w:rPr>
        <w:lastRenderedPageBreak/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70"/>
      </w:tblGrid>
      <w:tr w:rsidR="00CC7D1A" w:rsidRPr="00377EFF" w:rsidTr="00377EFF">
        <w:tc>
          <w:tcPr>
            <w:tcW w:w="5069" w:type="dxa"/>
          </w:tcPr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0" w:type="dxa"/>
          </w:tcPr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предусмотренные и оборудованные помещения отсутствуют.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Адаптированных образовательных </w:t>
            </w:r>
          </w:p>
          <w:p w:rsidR="00CC7D1A" w:rsidRPr="00CC7D1A" w:rsidRDefault="00CC7D1A" w:rsidP="00377EF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программ нет.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D03077" w:rsidP="00377E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D03077" w:rsidP="00377E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доступа в здания образовательной организации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и лиц с ограниченными возможностями здоровья.</w:t>
            </w:r>
          </w:p>
        </w:tc>
        <w:tc>
          <w:tcPr>
            <w:tcW w:w="5070" w:type="dxa"/>
          </w:tcPr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вход  оборудован</w:t>
            </w:r>
            <w:r w:rsidRPr="00CC7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звонком.</w:t>
            </w: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Конструктивные особенности здания МКДОУ «Детский сад </w:t>
            </w:r>
            <w:r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 с. Амурзет</w:t>
            </w: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» не предусматривают наличие подъемников.</w:t>
            </w: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 для обеспечения доступа в здание образовательной организации инвалиду или лицу с ОВЗ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будет предоставлено сопровождающее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лицо.</w:t>
            </w: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Для воспитанников предусматривается организация 3-х разового питания, по 10-ти дневному меню.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отдельного меню для инвалидов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и лиц с ОВЗ не практикуется.</w:t>
            </w: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8"/>
                <w:szCs w:val="8"/>
                <w:shd w:val="clear" w:color="auto" w:fill="FFFFFF"/>
              </w:rPr>
            </w:pP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охраны здоровья обучающихся, </w:t>
            </w:r>
          </w:p>
          <w:p w:rsidR="00D03077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инвалидов и лиц с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ограниченными возможностями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Доступ к информационным системам и информационно</w:t>
            </w:r>
            <w:r w:rsidR="00D03077"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база ДОУ оснащена электронной почтой,  функционирует официальный сайт ДОУ.</w:t>
            </w:r>
          </w:p>
          <w:p w:rsidR="00CC7D1A" w:rsidRPr="00377EFF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ДОУ имеются </w:t>
            </w:r>
            <w:proofErr w:type="spellStart"/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</w:t>
            </w: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 (экран, проектор), имеется аудиотехника (магнитофон); отсутствует компьютер, принтер.</w:t>
            </w: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  <w:r w:rsidR="00D03077"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12"/>
                <w:szCs w:val="12"/>
                <w:shd w:val="clear" w:color="auto" w:fill="FFFFFF"/>
              </w:rPr>
            </w:pP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CC7D1A" w:rsidRPr="00CC7D1A" w:rsidRDefault="00CC7D1A" w:rsidP="00377EFF">
            <w:pPr>
              <w:spacing w:before="100" w:beforeAutospacing="1" w:after="15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образования</w:t>
            </w:r>
          </w:p>
          <w:p w:rsidR="00D03077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="00D03077"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штате организации педагогических работников, имеющих основное образование </w:t>
            </w:r>
          </w:p>
          <w:p w:rsidR="00CC7D1A" w:rsidRPr="00377EFF" w:rsidRDefault="00CC7D1A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CC7D1A" w:rsidRPr="00377EFF" w:rsidTr="00377EFF">
        <w:tc>
          <w:tcPr>
            <w:tcW w:w="5069" w:type="dxa"/>
          </w:tcPr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CC7D1A" w:rsidRPr="00377EFF" w:rsidRDefault="00CC7D1A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r w:rsidR="00D03077"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3077" w:rsidRPr="00377EFF" w:rsidRDefault="00D03077" w:rsidP="00377EF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70" w:type="dxa"/>
          </w:tcPr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077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D1A" w:rsidRPr="00377EFF" w:rsidRDefault="00D03077" w:rsidP="0037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C7D1A" w:rsidRPr="00CC7D1A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377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D1A" w:rsidRDefault="00CC7D1A" w:rsidP="00CC7D1A">
      <w:pPr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</w:p>
    <w:sectPr w:rsidR="00CC7D1A" w:rsidSect="00CC52F4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C9A"/>
    <w:multiLevelType w:val="hybridMultilevel"/>
    <w:tmpl w:val="54C8F53C"/>
    <w:lvl w:ilvl="0" w:tplc="C06C7A1A">
      <w:start w:val="1"/>
      <w:numFmt w:val="decimal"/>
      <w:lvlText w:val="%1."/>
      <w:lvlJc w:val="left"/>
      <w:pPr>
        <w:ind w:left="690" w:hanging="360"/>
      </w:pPr>
      <w:rPr>
        <w:rFonts w:hint="default"/>
        <w:b/>
        <w:color w:val="B4103F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EE"/>
    <w:rsid w:val="000B062D"/>
    <w:rsid w:val="0014714A"/>
    <w:rsid w:val="0019491F"/>
    <w:rsid w:val="001B35EE"/>
    <w:rsid w:val="002462E9"/>
    <w:rsid w:val="00310884"/>
    <w:rsid w:val="00377EFF"/>
    <w:rsid w:val="00452FC9"/>
    <w:rsid w:val="007A4384"/>
    <w:rsid w:val="009D6389"/>
    <w:rsid w:val="00A54857"/>
    <w:rsid w:val="00B87C2B"/>
    <w:rsid w:val="00BE050D"/>
    <w:rsid w:val="00CC52F4"/>
    <w:rsid w:val="00CC7D1A"/>
    <w:rsid w:val="00D03077"/>
    <w:rsid w:val="00E3080C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35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3080C"/>
    <w:rPr>
      <w:b/>
      <w:bCs/>
    </w:rPr>
  </w:style>
  <w:style w:type="table" w:styleId="a6">
    <w:name w:val="Table Grid"/>
    <w:basedOn w:val="a1"/>
    <w:uiPriority w:val="59"/>
    <w:rsid w:val="00CC7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Postoenko_RA</cp:lastModifiedBy>
  <cp:revision>2</cp:revision>
  <cp:lastPrinted>2021-02-01T02:25:00Z</cp:lastPrinted>
  <dcterms:created xsi:type="dcterms:W3CDTF">2021-06-07T04:48:00Z</dcterms:created>
  <dcterms:modified xsi:type="dcterms:W3CDTF">2021-06-07T04:48:00Z</dcterms:modified>
</cp:coreProperties>
</file>